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00" w:lineRule="exact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8.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统计表填报注意事项</w:t>
      </w:r>
    </w:p>
    <w:bookmarkEnd w:id="0"/>
    <w:p>
      <w:pPr>
        <w:pStyle w:val="2"/>
        <w:widowControl/>
        <w:spacing w:beforeAutospacing="0" w:afterAutospacing="0" w:line="400" w:lineRule="exact"/>
        <w:jc w:val="both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Style w:val="7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关于</w:t>
      </w:r>
      <w:r>
        <w:rPr>
          <w:rStyle w:val="7"/>
          <w:rFonts w:hint="eastAsia"/>
          <w:color w:val="auto"/>
          <w:sz w:val="28"/>
          <w:szCs w:val="28"/>
        </w:rPr>
        <w:t>行政区划：通过</w:t>
      </w:r>
      <w:r>
        <w:rPr>
          <w:rStyle w:val="7"/>
          <w:color w:val="auto"/>
          <w:sz w:val="28"/>
          <w:szCs w:val="28"/>
        </w:rPr>
        <w:t>excel</w:t>
      </w:r>
      <w:r>
        <w:rPr>
          <w:rStyle w:val="7"/>
          <w:rFonts w:hint="eastAsia"/>
          <w:color w:val="auto"/>
          <w:sz w:val="28"/>
          <w:szCs w:val="28"/>
        </w:rPr>
        <w:t>表填报的，行政区划填写地（市）、县（区）行政区划代码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Style w:val="7"/>
          <w:rFonts w:hint="eastAsia" w:eastAsia="仿宋"/>
          <w:color w:val="auto"/>
          <w:sz w:val="28"/>
          <w:szCs w:val="28"/>
          <w:lang w:eastAsia="zh-CN"/>
        </w:rPr>
        <w:t>（</w:t>
      </w:r>
      <w:r>
        <w:rPr>
          <w:rStyle w:val="7"/>
          <w:rFonts w:hint="eastAsia" w:eastAsia="仿宋"/>
          <w:color w:val="auto"/>
          <w:sz w:val="28"/>
          <w:szCs w:val="28"/>
          <w:lang w:val="en-US" w:eastAsia="zh-CN"/>
        </w:rPr>
        <w:t>2</w:t>
      </w:r>
      <w:r>
        <w:rPr>
          <w:rStyle w:val="7"/>
          <w:rFonts w:hint="eastAsia" w:eastAsia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关于志书、年鉴、地方史、地情书、教材、理论著述、工具书等，分类应准确，需填报的信息应填尽填，出版时间、书号或准印号须标注清楚，且出版时间须为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年度，其他年份出版的不填报；书籍填报统一格式，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《山西省志·测绘志》《北京年鉴（</w:t>
      </w:r>
      <w:r>
        <w:rPr>
          <w:rFonts w:ascii="仿宋" w:hAnsi="仿宋" w:eastAsia="仿宋" w:cs="仿宋"/>
          <w:kern w:val="0"/>
          <w:sz w:val="28"/>
          <w:szCs w:val="28"/>
          <w:shd w:val="clear" w:color="auto" w:fill="FFFFFF"/>
        </w:rPr>
        <w:t>2019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）》，</w:t>
      </w:r>
      <w:r>
        <w:rPr>
          <w:rFonts w:hint="eastAsia" w:ascii="仿宋" w:hAnsi="仿宋" w:eastAsia="仿宋" w:cs="仿宋"/>
          <w:sz w:val="28"/>
          <w:szCs w:val="28"/>
        </w:rPr>
        <w:t>历代方志整理书名前标注年号，如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</w:rPr>
        <w:t>嘉庆《灵石县志》；</w:t>
      </w:r>
      <w:r>
        <w:rPr>
          <w:rFonts w:hint="eastAsia" w:ascii="仿宋" w:hAnsi="仿宋" w:eastAsia="仿宋" w:cs="仿宋"/>
          <w:sz w:val="28"/>
          <w:szCs w:val="28"/>
        </w:rPr>
        <w:t>除省市县三级志书为公开出版的外，其他书籍内部出版的需标注清楚内部发行号，无发行号的需在备注栏标注为内部印刷物。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关于统计上报：按照全国地方志系统统计上报平台用户使用手册（中国方志网</w:t>
      </w:r>
      <w:r>
        <w:rPr>
          <w:rFonts w:ascii="仿宋" w:hAnsi="仿宋" w:eastAsia="仿宋" w:cs="仿宋"/>
          <w:sz w:val="28"/>
          <w:szCs w:val="28"/>
        </w:rPr>
        <w:fldChar w:fldCharType="begin"/>
      </w:r>
      <w:r>
        <w:rPr>
          <w:rFonts w:ascii="仿宋" w:hAnsi="仿宋" w:eastAsia="仿宋" w:cs="仿宋"/>
          <w:sz w:val="28"/>
          <w:szCs w:val="28"/>
        </w:rPr>
        <w:instrText xml:space="preserve"> HYPERLINK "http://www.difangzhi.cn/" </w:instrText>
      </w:r>
      <w:r>
        <w:rPr>
          <w:rFonts w:ascii="仿宋" w:hAnsi="仿宋" w:eastAsia="仿宋" w:cs="仿宋"/>
          <w:sz w:val="28"/>
          <w:szCs w:val="28"/>
        </w:rPr>
        <w:fldChar w:fldCharType="separate"/>
      </w:r>
      <w:r>
        <w:rPr>
          <w:rStyle w:val="7"/>
          <w:color w:val="auto"/>
          <w:sz w:val="28"/>
          <w:szCs w:val="28"/>
        </w:rPr>
        <w:t>www.difangzhi.cn</w:t>
      </w:r>
      <w:r>
        <w:rPr>
          <w:rFonts w:ascii="仿宋" w:hAnsi="仿宋" w:eastAsia="仿宋" w:cs="仿宋"/>
          <w:sz w:val="28"/>
          <w:szCs w:val="28"/>
        </w:rPr>
        <w:fldChar w:fldCharType="end"/>
      </w:r>
      <w:r>
        <w:rPr>
          <w:rStyle w:val="6"/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</w:rPr>
        <w:t>在线服务</w:t>
      </w:r>
      <w:r>
        <w:rPr>
          <w:rStyle w:val="6"/>
          <w:rFonts w:hint="eastAsia" w:ascii="仿宋" w:hAnsi="仿宋" w:eastAsia="仿宋" w:cs="仿宋"/>
          <w:sz w:val="28"/>
          <w:szCs w:val="28"/>
        </w:rPr>
        <w:t>→</w:t>
      </w:r>
      <w:r>
        <w:rPr>
          <w:rFonts w:hint="eastAsia" w:ascii="仿宋" w:hAnsi="仿宋" w:eastAsia="仿宋" w:cs="仿宋"/>
          <w:sz w:val="28"/>
          <w:szCs w:val="28"/>
        </w:rPr>
        <w:t>在线下载）规范操作。所有统计项共</w:t>
      </w:r>
      <w:r>
        <w:rPr>
          <w:rFonts w:ascii="仿宋" w:hAnsi="仿宋" w:eastAsia="仿宋" w:cs="仿宋"/>
          <w:sz w:val="28"/>
          <w:szCs w:val="28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个统计表一起报送，请勿拆分逐条报送或部分报送；每个统计表的内容需完整填报，请勿分开报送。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A6F4C"/>
    <w:rsid w:val="45A96046"/>
    <w:rsid w:val="6F1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宋体" w:hAnsi="宋体" w:cs="Courier New"/>
      <w:sz w:val="32"/>
      <w:szCs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 Char Char4"/>
    <w:basedOn w:val="1"/>
    <w:link w:val="4"/>
    <w:qFormat/>
    <w:uiPriority w:val="0"/>
    <w:rPr>
      <w:rFonts w:ascii="宋体" w:hAnsi="宋体" w:cs="Courier New"/>
      <w:sz w:val="32"/>
      <w:szCs w:val="32"/>
    </w:rPr>
  </w:style>
  <w:style w:type="character" w:styleId="6">
    <w:name w:val="Strong"/>
    <w:basedOn w:val="4"/>
    <w:qFormat/>
    <w:uiPriority w:val="0"/>
    <w:rPr>
      <w:rFonts w:cs="Times New Roman"/>
      <w:b/>
    </w:rPr>
  </w:style>
  <w:style w:type="character" w:styleId="7">
    <w:name w:val="Hyperlink"/>
    <w:basedOn w:val="4"/>
    <w:qFormat/>
    <w:uiPriority w:val="0"/>
    <w:rPr>
      <w:rFonts w:ascii="仿宋" w:hAnsi="仿宋" w:eastAsia="仿宋" w:cs="仿宋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2020-12-31T01:18:00Z</dcterms:created>
  <dc:creator>zhangjp</dc:creator>
  <cp:lastModifiedBy>zhangjp</cp:lastModifiedBy>
  <dcterms:modified xsi:type="dcterms:W3CDTF">2020-12-31T01:19:40Z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